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EA" w:rsidRDefault="00CA481E" w:rsidP="002A6A01">
      <w:pPr>
        <w:jc w:val="center"/>
        <w:rPr>
          <w:b/>
        </w:rPr>
      </w:pPr>
      <w:r>
        <w:rPr>
          <w:b/>
        </w:rPr>
        <w:t xml:space="preserve">EVALUATION OF </w:t>
      </w:r>
      <w:r w:rsidRPr="00CA481E">
        <w:rPr>
          <w:b/>
        </w:rPr>
        <w:t>EDUCATION/TRAINING AND CLINICAL IMPROVEMENT</w:t>
      </w:r>
      <w:r>
        <w:rPr>
          <w:b/>
        </w:rPr>
        <w:t xml:space="preserve"> INTERVENTIONS: METRICS</w:t>
      </w:r>
    </w:p>
    <w:p w:rsidR="00933F6D" w:rsidRPr="00CA481E" w:rsidRDefault="00933F6D" w:rsidP="00933F6D">
      <w:pPr>
        <w:spacing w:after="0" w:line="240" w:lineRule="auto"/>
        <w:jc w:val="center"/>
        <w:rPr>
          <w:b/>
        </w:rPr>
      </w:pPr>
    </w:p>
    <w:p w:rsidR="000C3319" w:rsidRDefault="00CA481E" w:rsidP="00933F6D">
      <w:pPr>
        <w:spacing w:after="120" w:line="240" w:lineRule="auto"/>
      </w:pPr>
      <w:r>
        <w:t xml:space="preserve">In 2020, the Weitzman Institute at Community Health Center, Inc. began a year-long effort to develop an </w:t>
      </w:r>
      <w:r w:rsidR="00D53BD0">
        <w:t>implementation/</w:t>
      </w:r>
      <w:r>
        <w:t xml:space="preserve">evaluation framework for </w:t>
      </w:r>
      <w:r w:rsidR="00FD3DF4">
        <w:t>our education/training programs and</w:t>
      </w:r>
      <w:r>
        <w:t xml:space="preserve"> clinical interventions, and for our learning collaboratives and Project ECHO.  </w:t>
      </w:r>
      <w:r w:rsidR="00D53BD0">
        <w:t>The literature was very large! There are multiple models and frameworks for implementation</w:t>
      </w:r>
      <w:r w:rsidR="007336AD">
        <w:t>,</w:t>
      </w:r>
      <w:r w:rsidR="00D53BD0">
        <w:t xml:space="preserve"> evaluation, </w:t>
      </w:r>
      <w:r w:rsidR="007336AD">
        <w:t xml:space="preserve">knowledge translation, </w:t>
      </w:r>
      <w:r w:rsidR="00D53BD0">
        <w:t xml:space="preserve">as well as educational and sociological theories to back them up. We </w:t>
      </w:r>
      <w:r w:rsidR="007336AD">
        <w:t>read</w:t>
      </w:r>
      <w:r w:rsidR="00D53BD0">
        <w:t xml:space="preserve"> dozens of resources</w:t>
      </w:r>
      <w:r w:rsidR="007336AD">
        <w:t xml:space="preserve">: </w:t>
      </w:r>
      <w:proofErr w:type="spellStart"/>
      <w:r w:rsidR="007336AD">
        <w:t>Damschroder’s</w:t>
      </w:r>
      <w:proofErr w:type="spellEnd"/>
      <w:r w:rsidR="007336AD" w:rsidRPr="007336AD">
        <w:rPr>
          <w:rFonts w:cstheme="minorHAnsi"/>
          <w:color w:val="222222"/>
          <w:shd w:val="clear" w:color="auto" w:fill="FFFFFF"/>
        </w:rPr>
        <w:t xml:space="preserve"> </w:t>
      </w:r>
      <w:r w:rsidR="007336AD" w:rsidRPr="006C7FAA">
        <w:rPr>
          <w:rFonts w:cstheme="minorHAnsi"/>
          <w:color w:val="222222"/>
          <w:shd w:val="clear" w:color="auto" w:fill="FFFFFF"/>
        </w:rPr>
        <w:t>Consolidated Framework for Implementation Research</w:t>
      </w:r>
      <w:r w:rsidR="007336AD">
        <w:t xml:space="preserve">, Graham’s Knowledge Translation Model, Moore’s learner outcomes, Proctor’s implementation outcomes framework, the RE-AIM evaluation framework, among others. </w:t>
      </w:r>
      <w:r w:rsidR="00D53BD0">
        <w:t xml:space="preserve"> Again and again, the point was made that without identifying outcomes metrics early in the phase of developing a program</w:t>
      </w:r>
      <w:r w:rsidR="006E47A1">
        <w:t xml:space="preserve"> or intervention</w:t>
      </w:r>
      <w:r w:rsidR="00D53BD0">
        <w:t xml:space="preserve">, </w:t>
      </w:r>
      <w:r w:rsidR="006E47A1">
        <w:t>implementation</w:t>
      </w:r>
      <w:r w:rsidR="006E47A1" w:rsidRPr="00D53BD0">
        <w:t xml:space="preserve"> has no structure</w:t>
      </w:r>
      <w:r w:rsidR="006E47A1">
        <w:t>, and post-implementation evaluation</w:t>
      </w:r>
      <w:r w:rsidR="006E47A1" w:rsidRPr="00D53BD0">
        <w:t xml:space="preserve"> cannot provide meaningful information.</w:t>
      </w:r>
      <w:r w:rsidR="006E47A1">
        <w:t xml:space="preserve"> That is, start and end with metrics.  </w:t>
      </w:r>
      <w:r w:rsidR="00D53BD0" w:rsidRPr="00D53BD0">
        <w:t>Business, education, health care</w:t>
      </w:r>
      <w:r w:rsidR="00FD3DF4">
        <w:t>,</w:t>
      </w:r>
      <w:r w:rsidR="00D53BD0" w:rsidRPr="00D53BD0">
        <w:t xml:space="preserve"> and software technology all have models of program development and evaluation, and while the word</w:t>
      </w:r>
      <w:r w:rsidR="00AF5F4F">
        <w:t xml:space="preserve">ing </w:t>
      </w:r>
      <w:r w:rsidR="00D53BD0" w:rsidRPr="00D53BD0">
        <w:t>ma</w:t>
      </w:r>
      <w:r w:rsidR="00FD3DF4">
        <w:t>y be different, the process is</w:t>
      </w:r>
      <w:r w:rsidR="00D53BD0" w:rsidRPr="00D53BD0">
        <w:t xml:space="preserve"> the same: </w:t>
      </w:r>
    </w:p>
    <w:p w:rsidR="006E47A1" w:rsidRDefault="00D53BD0" w:rsidP="00933F6D">
      <w:pPr>
        <w:pStyle w:val="ListParagraph"/>
        <w:numPr>
          <w:ilvl w:val="0"/>
          <w:numId w:val="3"/>
        </w:numPr>
        <w:spacing w:after="120" w:line="240" w:lineRule="auto"/>
      </w:pPr>
      <w:r w:rsidRPr="00D53BD0">
        <w:t xml:space="preserve">begin with an assessment/analysis of current state; </w:t>
      </w:r>
    </w:p>
    <w:p w:rsidR="006E47A1" w:rsidRDefault="00D53BD0" w:rsidP="00933F6D">
      <w:pPr>
        <w:pStyle w:val="ListParagraph"/>
        <w:numPr>
          <w:ilvl w:val="0"/>
          <w:numId w:val="3"/>
        </w:numPr>
        <w:spacing w:after="120" w:line="240" w:lineRule="auto"/>
      </w:pPr>
      <w:r w:rsidRPr="00D53BD0">
        <w:t>decide what you want to accomplish or change and how you will know it if and when you do</w:t>
      </w:r>
      <w:r w:rsidR="00F44627">
        <w:t xml:space="preserve">, that is, identify </w:t>
      </w:r>
      <w:r w:rsidR="006E47A1">
        <w:t>metri</w:t>
      </w:r>
      <w:r w:rsidR="00F44627">
        <w:t>cs up front</w:t>
      </w:r>
      <w:r w:rsidRPr="00D53BD0">
        <w:t xml:space="preserve">; </w:t>
      </w:r>
    </w:p>
    <w:p w:rsidR="006E47A1" w:rsidRDefault="00D53BD0" w:rsidP="00933F6D">
      <w:pPr>
        <w:pStyle w:val="ListParagraph"/>
        <w:numPr>
          <w:ilvl w:val="0"/>
          <w:numId w:val="3"/>
        </w:numPr>
        <w:spacing w:after="120" w:line="240" w:lineRule="auto"/>
      </w:pPr>
      <w:r w:rsidRPr="00D53BD0">
        <w:t xml:space="preserve">design and implement a program to achieve </w:t>
      </w:r>
      <w:r w:rsidR="00F44627">
        <w:t>these same metrics</w:t>
      </w:r>
      <w:r w:rsidRPr="00D53BD0">
        <w:t xml:space="preserve">; </w:t>
      </w:r>
    </w:p>
    <w:p w:rsidR="006E47A1" w:rsidRDefault="00D53BD0" w:rsidP="00933F6D">
      <w:pPr>
        <w:pStyle w:val="ListParagraph"/>
        <w:numPr>
          <w:ilvl w:val="0"/>
          <w:numId w:val="3"/>
        </w:numPr>
        <w:spacing w:after="120" w:line="240" w:lineRule="auto"/>
      </w:pPr>
      <w:r w:rsidRPr="00D53BD0">
        <w:t>then evaluate</w:t>
      </w:r>
      <w:r w:rsidR="00F44627">
        <w:t xml:space="preserve"> what you have done using </w:t>
      </w:r>
      <w:r w:rsidR="00AF5F4F">
        <w:t>those</w:t>
      </w:r>
      <w:r w:rsidR="00F44627">
        <w:t xml:space="preserve"> metrics in addition to any other observations you have made along the way;</w:t>
      </w:r>
    </w:p>
    <w:p w:rsidR="006E47A1" w:rsidRPr="00D53BD0" w:rsidRDefault="006E47A1" w:rsidP="00933F6D">
      <w:pPr>
        <w:pStyle w:val="ListParagraph"/>
        <w:numPr>
          <w:ilvl w:val="0"/>
          <w:numId w:val="3"/>
        </w:numPr>
        <w:spacing w:after="120" w:line="240" w:lineRule="auto"/>
      </w:pPr>
      <w:proofErr w:type="gramStart"/>
      <w:r>
        <w:t>a</w:t>
      </w:r>
      <w:r w:rsidRPr="00D53BD0">
        <w:t>ll</w:t>
      </w:r>
      <w:proofErr w:type="gramEnd"/>
      <w:r w:rsidRPr="00D53BD0">
        <w:t xml:space="preserve"> models have feedback loops that address revision, re-implementation, and so on; that is, they are not linear.</w:t>
      </w:r>
    </w:p>
    <w:p w:rsidR="00F44627" w:rsidRDefault="006E47A1" w:rsidP="00933F6D">
      <w:pPr>
        <w:spacing w:after="120" w:line="240" w:lineRule="auto"/>
      </w:pPr>
      <w:r>
        <w:t xml:space="preserve">The Clinical Microsystems improvement ramp incorporates the same concepts. At CHCI, we use four different types of </w:t>
      </w:r>
      <w:r w:rsidR="00933F6D">
        <w:t xml:space="preserve">outcomes </w:t>
      </w:r>
      <w:r>
        <w:t>metrics, but not all of them apply to every initiative</w:t>
      </w:r>
      <w:r w:rsidR="008B1153">
        <w:t>.  There are multiple ways to measure the outcomes, and it is often best to consult the literature further.</w:t>
      </w:r>
    </w:p>
    <w:p w:rsidR="00F44627" w:rsidRPr="00160346" w:rsidRDefault="00F44627" w:rsidP="00933F6D">
      <w:pPr>
        <w:spacing w:after="120" w:line="240" w:lineRule="auto"/>
        <w:rPr>
          <w:b/>
          <w:caps/>
        </w:rPr>
      </w:pPr>
      <w:r w:rsidRPr="00160346">
        <w:rPr>
          <w:b/>
          <w:caps/>
        </w:rPr>
        <w:t>Types of outcomes</w:t>
      </w:r>
    </w:p>
    <w:p w:rsidR="00F44627" w:rsidRDefault="00F44627" w:rsidP="00933F6D">
      <w:pPr>
        <w:spacing w:after="120" w:line="240" w:lineRule="auto"/>
      </w:pPr>
      <w:r w:rsidRPr="00160346">
        <w:rPr>
          <w:b/>
          <w:i/>
        </w:rPr>
        <w:t>Implementation/process outcomes</w:t>
      </w:r>
      <w:r>
        <w:t xml:space="preserve"> refer to the implementation of the intervention itself.  So we want to know if the intervention (webinar, learning collaborative, new clinical program</w:t>
      </w:r>
      <w:r w:rsidR="00160346">
        <w:t>s</w:t>
      </w:r>
      <w:r>
        <w:t xml:space="preserve"> </w:t>
      </w:r>
      <w:r w:rsidR="00160346">
        <w:t>such as annual wellness visits</w:t>
      </w:r>
      <w:r>
        <w:t>, etc.) was implemented as intended</w:t>
      </w:r>
      <w:r w:rsidR="00AF5F4F">
        <w:t xml:space="preserve">. </w:t>
      </w:r>
      <w:r w:rsidR="00454B47">
        <w:t xml:space="preserve">Interventions are planned change, which means preparing and engaging people through </w:t>
      </w:r>
      <w:r w:rsidR="00160346">
        <w:t>meetings, education/</w:t>
      </w:r>
      <w:r w:rsidR="00454B47">
        <w:t xml:space="preserve"> training activities</w:t>
      </w:r>
      <w:r w:rsidR="00160346">
        <w:t>, developing new workflows, etc</w:t>
      </w:r>
      <w:r w:rsidR="00454B47">
        <w:t xml:space="preserve">. </w:t>
      </w:r>
      <w:r w:rsidR="00454B47" w:rsidRPr="00454B47">
        <w:t>Was the intervention implemented as intended or were changes made and why</w:t>
      </w:r>
      <w:r w:rsidR="00454B47">
        <w:t>? Outcomes:</w:t>
      </w:r>
    </w:p>
    <w:p w:rsidR="00933F6D" w:rsidRDefault="00933F6D" w:rsidP="00160346">
      <w:pPr>
        <w:pStyle w:val="ListParagraph"/>
        <w:numPr>
          <w:ilvl w:val="0"/>
          <w:numId w:val="7"/>
        </w:numPr>
        <w:spacing w:after="120" w:line="240" w:lineRule="auto"/>
      </w:pPr>
      <w:proofErr w:type="gramStart"/>
      <w:r>
        <w:t>number</w:t>
      </w:r>
      <w:proofErr w:type="gramEnd"/>
      <w:r>
        <w:t xml:space="preserve"> </w:t>
      </w:r>
      <w:r w:rsidR="00DD7DD7">
        <w:t xml:space="preserve">and role </w:t>
      </w:r>
      <w:r>
        <w:t xml:space="preserve">of people engaged in </w:t>
      </w:r>
      <w:r w:rsidR="00DD7DD7">
        <w:t>preparing for and implementing the</w:t>
      </w:r>
      <w:r>
        <w:t xml:space="preserve"> intervention (penetration).</w:t>
      </w:r>
    </w:p>
    <w:p w:rsidR="00160346" w:rsidRDefault="00933F6D" w:rsidP="00160346">
      <w:pPr>
        <w:pStyle w:val="ListParagraph"/>
        <w:numPr>
          <w:ilvl w:val="0"/>
          <w:numId w:val="7"/>
        </w:numPr>
        <w:spacing w:after="120" w:line="240" w:lineRule="auto"/>
      </w:pPr>
      <w:r>
        <w:t xml:space="preserve">number of training/education/information sessions </w:t>
      </w:r>
      <w:r w:rsidR="00DD7DD7">
        <w:t xml:space="preserve">or meetings </w:t>
      </w:r>
      <w:r>
        <w:t>(dose); attendance; evaluation of training/education/information activities (materials, content, appropriateness)</w:t>
      </w:r>
      <w:r w:rsidR="00160346">
        <w:t>;</w:t>
      </w:r>
    </w:p>
    <w:p w:rsidR="00160346" w:rsidRDefault="00160346" w:rsidP="00160346">
      <w:pPr>
        <w:pStyle w:val="ListParagraph"/>
        <w:numPr>
          <w:ilvl w:val="0"/>
          <w:numId w:val="7"/>
        </w:numPr>
        <w:spacing w:after="120" w:line="240" w:lineRule="auto"/>
      </w:pPr>
      <w:r w:rsidRPr="00F44627">
        <w:t>cost</w:t>
      </w:r>
      <w:r>
        <w:t xml:space="preserve">, feasibility, and </w:t>
      </w:r>
      <w:r w:rsidR="00933F6D">
        <w:t>sustainability</w:t>
      </w:r>
      <w:r>
        <w:t xml:space="preserve"> of the intervention;</w:t>
      </w:r>
    </w:p>
    <w:p w:rsidR="00933F6D" w:rsidRDefault="00160346" w:rsidP="00160346">
      <w:pPr>
        <w:pStyle w:val="ListParagraph"/>
        <w:numPr>
          <w:ilvl w:val="0"/>
          <w:numId w:val="7"/>
        </w:numPr>
        <w:spacing w:after="120" w:line="240" w:lineRule="auto"/>
      </w:pPr>
      <w:proofErr w:type="gramStart"/>
      <w:r>
        <w:t>f</w:t>
      </w:r>
      <w:r w:rsidR="00933F6D">
        <w:t>idelity</w:t>
      </w:r>
      <w:proofErr w:type="gramEnd"/>
      <w:r w:rsidR="00933F6D">
        <w:t xml:space="preserve"> to the model that the intervention represents (as applicable</w:t>
      </w:r>
      <w:r>
        <w:t>, e.g., there are models for learning collaboratives, team-based care, and annual wellness visits</w:t>
      </w:r>
      <w:r w:rsidR="00933F6D">
        <w:t>).</w:t>
      </w:r>
    </w:p>
    <w:p w:rsidR="00454B47" w:rsidRDefault="00454B47" w:rsidP="00933F6D">
      <w:pPr>
        <w:spacing w:after="120" w:line="240" w:lineRule="auto"/>
      </w:pPr>
    </w:p>
    <w:p w:rsidR="00933F6D" w:rsidRDefault="00F44627" w:rsidP="00933F6D">
      <w:pPr>
        <w:spacing w:after="120" w:line="240" w:lineRule="auto"/>
      </w:pPr>
      <w:r w:rsidRPr="00160346">
        <w:rPr>
          <w:b/>
          <w:i/>
        </w:rPr>
        <w:lastRenderedPageBreak/>
        <w:t>Learner outcomes</w:t>
      </w:r>
      <w:r>
        <w:t xml:space="preserve"> are about what participants have gotten out of the intervention, especially an educational</w:t>
      </w:r>
      <w:r w:rsidR="00933F6D">
        <w:t>/training</w:t>
      </w:r>
      <w:r>
        <w:t xml:space="preserve"> intervention</w:t>
      </w:r>
      <w:r w:rsidR="00DD7DD7">
        <w:t>, such as a course, webinar, in-house training</w:t>
      </w:r>
      <w:r>
        <w:t>. </w:t>
      </w:r>
      <w:r w:rsidR="00933F6D">
        <w:t xml:space="preserve">Learner outcomes address knowledge, skills, and attitudes. These outcomes can be measured after each educational/training session, at the end of a series of sessions, and 3-6 months later </w:t>
      </w:r>
      <w:r w:rsidR="00DD7DD7">
        <w:t>depending on the program</w:t>
      </w:r>
      <w:r w:rsidR="00933F6D">
        <w:t>.  You can also do a pre-intervention survey to determine knowledge, skills, attitudes prior to the intervention so that you can measures changes later.  Learner outcomes are usually self-report, bu</w:t>
      </w:r>
      <w:r w:rsidR="00DD7DD7">
        <w:t>t objective measures are better if applicable, such as performing a skill correctly.</w:t>
      </w:r>
    </w:p>
    <w:p w:rsidR="00933F6D" w:rsidRDefault="00F44627" w:rsidP="007336AD">
      <w:pPr>
        <w:spacing w:after="60" w:line="240" w:lineRule="auto"/>
        <w:ind w:left="806" w:hanging="360"/>
      </w:pPr>
      <w:r>
        <w:t xml:space="preserve">1) </w:t>
      </w:r>
      <w:r w:rsidR="00160346">
        <w:t xml:space="preserve">   </w:t>
      </w:r>
      <w:proofErr w:type="gramStart"/>
      <w:r>
        <w:t>acceptability</w:t>
      </w:r>
      <w:proofErr w:type="gramEnd"/>
      <w:r w:rsidR="00160346">
        <w:t xml:space="preserve"> to the learners</w:t>
      </w:r>
      <w:r>
        <w:t xml:space="preserve"> (satisfaction, appropriateness, cost, feasibility at an individual level); </w:t>
      </w:r>
    </w:p>
    <w:p w:rsidR="00933F6D" w:rsidRDefault="00F44627" w:rsidP="007336AD">
      <w:pPr>
        <w:spacing w:after="60" w:line="240" w:lineRule="auto"/>
        <w:ind w:left="806" w:hanging="360"/>
      </w:pPr>
      <w:r>
        <w:t xml:space="preserve">2) </w:t>
      </w:r>
      <w:r w:rsidR="00160346">
        <w:tab/>
      </w:r>
      <w:proofErr w:type="gramStart"/>
      <w:r>
        <w:t>changes</w:t>
      </w:r>
      <w:proofErr w:type="gramEnd"/>
      <w:r>
        <w:t xml:space="preserve"> in</w:t>
      </w:r>
      <w:r w:rsidR="00160346">
        <w:t xml:space="preserve"> learners’</w:t>
      </w:r>
      <w:r>
        <w:t xml:space="preserve"> knowledge, skills, attitude, self-efficacy (depending on the objectives of the intervention); </w:t>
      </w:r>
    </w:p>
    <w:p w:rsidR="00933F6D" w:rsidRDefault="00F44627" w:rsidP="007336AD">
      <w:pPr>
        <w:spacing w:after="60" w:line="240" w:lineRule="auto"/>
        <w:ind w:left="806" w:hanging="360"/>
      </w:pPr>
      <w:r>
        <w:t xml:space="preserve">3) </w:t>
      </w:r>
      <w:r w:rsidR="00160346">
        <w:tab/>
      </w:r>
      <w:proofErr w:type="gramStart"/>
      <w:r>
        <w:t>intention</w:t>
      </w:r>
      <w:proofErr w:type="gramEnd"/>
      <w:r>
        <w:t xml:space="preserve"> to make changes in practice and/or actual changes in practice depending on the type of intervention; </w:t>
      </w:r>
    </w:p>
    <w:p w:rsidR="00F44627" w:rsidRDefault="00F44627" w:rsidP="007336AD">
      <w:pPr>
        <w:spacing w:after="60" w:line="240" w:lineRule="auto"/>
        <w:ind w:left="806" w:hanging="360"/>
      </w:pPr>
      <w:r>
        <w:t xml:space="preserve">4) </w:t>
      </w:r>
      <w:r w:rsidR="00160346">
        <w:t xml:space="preserve">   </w:t>
      </w:r>
      <w:proofErr w:type="gramStart"/>
      <w:r>
        <w:t>completion</w:t>
      </w:r>
      <w:proofErr w:type="gramEnd"/>
      <w:r>
        <w:t xml:space="preserve"> of learner deliverables.  </w:t>
      </w:r>
    </w:p>
    <w:p w:rsidR="00933F6D" w:rsidRDefault="00933F6D" w:rsidP="00933F6D">
      <w:pPr>
        <w:spacing w:after="120" w:line="240" w:lineRule="auto"/>
        <w:rPr>
          <w:i/>
        </w:rPr>
      </w:pPr>
    </w:p>
    <w:p w:rsidR="00F44627" w:rsidRDefault="00F44627" w:rsidP="00933F6D">
      <w:pPr>
        <w:spacing w:after="120" w:line="240" w:lineRule="auto"/>
      </w:pPr>
      <w:bookmarkStart w:id="0" w:name="_GoBack"/>
      <w:r w:rsidRPr="000A24E8">
        <w:rPr>
          <w:b/>
          <w:i/>
        </w:rPr>
        <w:t>Service outcomes</w:t>
      </w:r>
      <w:r>
        <w:t xml:space="preserve"> are related to the IOM Crossing the Quality Chasm for improved quality in health services: efficiency, safety, effectiveness, equity, patient-centeredness, and timeliness.  </w:t>
      </w:r>
      <w:r w:rsidR="000A24E8" w:rsidRPr="000A24E8">
        <w:rPr>
          <w:u w:val="single"/>
        </w:rPr>
        <w:t>These outcomes are the result of actions taken by the staff</w:t>
      </w:r>
      <w:r w:rsidR="000A24E8">
        <w:t>.  Many UDS measures are service outcomes, but there are in-house measures you can use as well.  A few examples:</w:t>
      </w:r>
    </w:p>
    <w:bookmarkEnd w:id="0"/>
    <w:p w:rsidR="00F44627" w:rsidRDefault="000A24E8" w:rsidP="007336AD">
      <w:pPr>
        <w:pStyle w:val="ListParagraph"/>
        <w:numPr>
          <w:ilvl w:val="0"/>
          <w:numId w:val="8"/>
        </w:numPr>
        <w:spacing w:after="120" w:line="240" w:lineRule="auto"/>
      </w:pPr>
      <w:r>
        <w:t>improved screening rates for cancer, diabetes, hypertension;</w:t>
      </w:r>
    </w:p>
    <w:p w:rsidR="000A24E8" w:rsidRDefault="000A24E8" w:rsidP="007336AD">
      <w:pPr>
        <w:pStyle w:val="ListParagraph"/>
        <w:numPr>
          <w:ilvl w:val="0"/>
          <w:numId w:val="8"/>
        </w:numPr>
        <w:spacing w:after="120" w:line="240" w:lineRule="auto"/>
      </w:pPr>
      <w:r>
        <w:t>shorter cycle times;</w:t>
      </w:r>
    </w:p>
    <w:p w:rsidR="000A24E8" w:rsidRDefault="000A24E8" w:rsidP="007336AD">
      <w:pPr>
        <w:pStyle w:val="ListParagraph"/>
        <w:numPr>
          <w:ilvl w:val="0"/>
          <w:numId w:val="8"/>
        </w:numPr>
        <w:spacing w:after="120" w:line="240" w:lineRule="auto"/>
      </w:pPr>
      <w:r>
        <w:t>new policies, procedures, job descriptions, education materials, and so on, that are designed to improve quality;</w:t>
      </w:r>
    </w:p>
    <w:p w:rsidR="000A24E8" w:rsidRDefault="000A24E8" w:rsidP="007336AD">
      <w:pPr>
        <w:pStyle w:val="ListParagraph"/>
        <w:numPr>
          <w:ilvl w:val="0"/>
          <w:numId w:val="8"/>
        </w:numPr>
        <w:spacing w:after="120" w:line="240" w:lineRule="auto"/>
      </w:pPr>
      <w:r>
        <w:t>number of annual wellness visits;</w:t>
      </w:r>
    </w:p>
    <w:p w:rsidR="000A24E8" w:rsidRDefault="000A24E8" w:rsidP="007336AD">
      <w:pPr>
        <w:pStyle w:val="ListParagraph"/>
        <w:numPr>
          <w:ilvl w:val="0"/>
          <w:numId w:val="8"/>
        </w:numPr>
        <w:spacing w:after="120" w:line="240" w:lineRule="auto"/>
      </w:pPr>
      <w:r>
        <w:t>follow-up phone calls to patients discharged from hospital</w:t>
      </w:r>
      <w:r w:rsidR="00E367AC">
        <w:t>;</w:t>
      </w:r>
    </w:p>
    <w:p w:rsidR="00E367AC" w:rsidRDefault="00E367AC" w:rsidP="007336AD">
      <w:pPr>
        <w:pStyle w:val="ListParagraph"/>
        <w:numPr>
          <w:ilvl w:val="0"/>
          <w:numId w:val="8"/>
        </w:numPr>
        <w:spacing w:after="120" w:line="240" w:lineRule="auto"/>
      </w:pPr>
      <w:proofErr w:type="gramStart"/>
      <w:r>
        <w:t>staff</w:t>
      </w:r>
      <w:proofErr w:type="gramEnd"/>
      <w:r>
        <w:t xml:space="preserve"> turnover, staffing ratios.</w:t>
      </w:r>
    </w:p>
    <w:p w:rsidR="006E47A1" w:rsidRPr="00D53BD0" w:rsidRDefault="006E47A1" w:rsidP="00933F6D">
      <w:pPr>
        <w:pStyle w:val="BodyText"/>
        <w:spacing w:after="120"/>
        <w:ind w:right="324"/>
        <w:jc w:val="both"/>
      </w:pPr>
    </w:p>
    <w:p w:rsidR="000C3319" w:rsidRDefault="00747B55" w:rsidP="00E367AC">
      <w:pPr>
        <w:spacing w:after="120" w:line="240" w:lineRule="auto"/>
        <w:rPr>
          <w:u w:val="single"/>
        </w:rPr>
      </w:pPr>
      <w:r w:rsidRPr="00E367AC">
        <w:rPr>
          <w:b/>
          <w:i/>
          <w:iCs/>
        </w:rPr>
        <w:t>Patient outcomes</w:t>
      </w:r>
      <w:r w:rsidR="000C3319">
        <w:t xml:space="preserve"> are e</w:t>
      </w:r>
      <w:r w:rsidRPr="00CA481E">
        <w:t>vidence for improved health status of a population of patients</w:t>
      </w:r>
      <w:r w:rsidR="00E367AC">
        <w:t xml:space="preserve">. </w:t>
      </w:r>
      <w:r w:rsidRPr="00CA481E">
        <w:t xml:space="preserve">A patient outcome is something that </w:t>
      </w:r>
      <w:r w:rsidR="00770D82" w:rsidRPr="00E367AC">
        <w:rPr>
          <w:u w:val="single"/>
        </w:rPr>
        <w:t>is patient-centered, a</w:t>
      </w:r>
      <w:r w:rsidR="007336AD">
        <w:rPr>
          <w:u w:val="single"/>
        </w:rPr>
        <w:t xml:space="preserve"> </w:t>
      </w:r>
      <w:r w:rsidR="00770D82" w:rsidRPr="00E367AC">
        <w:rPr>
          <w:u w:val="single"/>
        </w:rPr>
        <w:t xml:space="preserve">result of </w:t>
      </w:r>
      <w:r w:rsidR="00E367AC">
        <w:rPr>
          <w:u w:val="single"/>
        </w:rPr>
        <w:t>actions taken by patients</w:t>
      </w:r>
      <w:r w:rsidR="00770D82" w:rsidRPr="00E367AC">
        <w:rPr>
          <w:u w:val="single"/>
        </w:rPr>
        <w:t>.</w:t>
      </w:r>
      <w:r w:rsidR="00E367AC">
        <w:rPr>
          <w:u w:val="single"/>
        </w:rPr>
        <w:t xml:space="preserve">  </w:t>
      </w:r>
      <w:r w:rsidR="00E367AC" w:rsidRPr="00E367AC">
        <w:t>Some UDS measures are patient outcomes.</w:t>
      </w:r>
      <w:r w:rsidR="00E367AC">
        <w:rPr>
          <w:u w:val="single"/>
        </w:rPr>
        <w:t xml:space="preserve"> </w:t>
      </w:r>
    </w:p>
    <w:p w:rsidR="006C7FAA" w:rsidRPr="006C7FAA" w:rsidRDefault="006C7FAA" w:rsidP="00E367AC">
      <w:pPr>
        <w:pStyle w:val="ListParagraph"/>
        <w:numPr>
          <w:ilvl w:val="0"/>
          <w:numId w:val="11"/>
        </w:numPr>
        <w:spacing w:after="120" w:line="240" w:lineRule="auto"/>
        <w:rPr>
          <w:bCs/>
        </w:rPr>
      </w:pPr>
      <w:r w:rsidRPr="006C7FAA">
        <w:t>Improved A1c in population of patients screened (UDS measure)</w:t>
      </w:r>
    </w:p>
    <w:p w:rsidR="00E367AC" w:rsidRDefault="00E367AC" w:rsidP="00E367AC">
      <w:pPr>
        <w:pStyle w:val="ListParagraph"/>
        <w:numPr>
          <w:ilvl w:val="0"/>
          <w:numId w:val="11"/>
        </w:numPr>
        <w:spacing w:after="120" w:line="240" w:lineRule="auto"/>
        <w:rPr>
          <w:bCs/>
        </w:rPr>
      </w:pPr>
      <w:r>
        <w:rPr>
          <w:bCs/>
        </w:rPr>
        <w:t>improved rate of patients picking up medications at pharmacy;</w:t>
      </w:r>
    </w:p>
    <w:p w:rsidR="006C7FAA" w:rsidRPr="006C7FAA" w:rsidRDefault="006C7FAA" w:rsidP="00E367AC">
      <w:pPr>
        <w:pStyle w:val="ListParagraph"/>
        <w:numPr>
          <w:ilvl w:val="0"/>
          <w:numId w:val="11"/>
        </w:numPr>
        <w:spacing w:after="120" w:line="240" w:lineRule="auto"/>
        <w:rPr>
          <w:bCs/>
        </w:rPr>
      </w:pPr>
      <w:r w:rsidRPr="006C7FAA">
        <w:t>decrease in colon cancer rates (UDS measure)</w:t>
      </w:r>
    </w:p>
    <w:p w:rsidR="00E367AC" w:rsidRDefault="00E367AC" w:rsidP="00E367AC">
      <w:pPr>
        <w:pStyle w:val="ListParagraph"/>
        <w:numPr>
          <w:ilvl w:val="0"/>
          <w:numId w:val="11"/>
        </w:numPr>
        <w:spacing w:after="120" w:line="240" w:lineRule="auto"/>
        <w:rPr>
          <w:bCs/>
        </w:rPr>
      </w:pPr>
      <w:proofErr w:type="gramStart"/>
      <w:r>
        <w:rPr>
          <w:bCs/>
        </w:rPr>
        <w:t>patient</w:t>
      </w:r>
      <w:proofErr w:type="gramEnd"/>
      <w:r>
        <w:rPr>
          <w:bCs/>
        </w:rPr>
        <w:t xml:space="preserve"> satisfaction</w:t>
      </w:r>
      <w:r w:rsidR="006C7FAA">
        <w:rPr>
          <w:bCs/>
        </w:rPr>
        <w:t>.</w:t>
      </w:r>
    </w:p>
    <w:p w:rsidR="008C7E66" w:rsidRDefault="008C7E66" w:rsidP="00933F6D">
      <w:pPr>
        <w:spacing w:after="120" w:line="240" w:lineRule="auto"/>
        <w:rPr>
          <w:b/>
          <w:bCs/>
        </w:rPr>
      </w:pPr>
    </w:p>
    <w:p w:rsidR="007336AD" w:rsidRDefault="007336AD" w:rsidP="00933F6D">
      <w:pPr>
        <w:spacing w:after="120" w:line="240" w:lineRule="auto"/>
        <w:rPr>
          <w:b/>
          <w:bCs/>
        </w:rPr>
      </w:pPr>
    </w:p>
    <w:p w:rsidR="007336AD" w:rsidRPr="006C7FAA" w:rsidRDefault="007336AD" w:rsidP="00933F6D">
      <w:pPr>
        <w:spacing w:after="120" w:line="240" w:lineRule="auto"/>
        <w:rPr>
          <w:b/>
          <w:bCs/>
        </w:rPr>
      </w:pPr>
    </w:p>
    <w:p w:rsidR="00CA481E" w:rsidRPr="006C7FAA" w:rsidRDefault="008B1153" w:rsidP="00933F6D">
      <w:pPr>
        <w:spacing w:after="120" w:line="240" w:lineRule="auto"/>
        <w:rPr>
          <w:b/>
        </w:rPr>
      </w:pPr>
      <w:r w:rsidRPr="006C7FAA">
        <w:rPr>
          <w:b/>
        </w:rPr>
        <w:lastRenderedPageBreak/>
        <w:t>DIFFERENTIATING BETWEEN SERVICE AND PATIENT OUTCOMES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7"/>
        <w:gridCol w:w="6923"/>
      </w:tblGrid>
      <w:tr w:rsidR="00CA481E" w:rsidRPr="006C7FAA" w:rsidTr="008B1153">
        <w:trPr>
          <w:trHeight w:val="343"/>
        </w:trPr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CA481E" w:rsidP="00933F6D">
            <w:pPr>
              <w:spacing w:after="120" w:line="240" w:lineRule="auto"/>
              <w:jc w:val="center"/>
              <w:rPr>
                <w:caps/>
              </w:rPr>
            </w:pPr>
            <w:r w:rsidRPr="006C7FAA">
              <w:rPr>
                <w:b/>
                <w:bCs/>
                <w:caps/>
              </w:rPr>
              <w:t>Service outcome</w:t>
            </w:r>
          </w:p>
        </w:tc>
        <w:tc>
          <w:tcPr>
            <w:tcW w:w="2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CA481E" w:rsidP="00933F6D">
            <w:pPr>
              <w:spacing w:after="120" w:line="240" w:lineRule="auto"/>
              <w:jc w:val="center"/>
              <w:rPr>
                <w:caps/>
              </w:rPr>
            </w:pPr>
            <w:r w:rsidRPr="006C7FAA">
              <w:rPr>
                <w:b/>
                <w:bCs/>
                <w:caps/>
              </w:rPr>
              <w:t>Patient outcome</w:t>
            </w:r>
          </w:p>
        </w:tc>
      </w:tr>
      <w:tr w:rsidR="00CA481E" w:rsidRPr="006C7FAA" w:rsidTr="008B1153">
        <w:trPr>
          <w:trHeight w:val="460"/>
        </w:trPr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CA481E" w:rsidP="006C7FAA">
            <w:pPr>
              <w:spacing w:after="0" w:line="240" w:lineRule="auto"/>
            </w:pPr>
            <w:r w:rsidRPr="006C7FAA">
              <w:t>Increased A1c screening rate</w:t>
            </w:r>
          </w:p>
        </w:tc>
        <w:tc>
          <w:tcPr>
            <w:tcW w:w="2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CA481E" w:rsidP="006C7FAA">
            <w:pPr>
              <w:spacing w:after="0" w:line="240" w:lineRule="auto"/>
            </w:pPr>
            <w:r w:rsidRPr="006C7FAA">
              <w:t>Improved A1c in population of patients screened</w:t>
            </w:r>
            <w:r w:rsidR="00F46037" w:rsidRPr="006C7FAA">
              <w:t xml:space="preserve"> (</w:t>
            </w:r>
            <w:r w:rsidR="008B1153" w:rsidRPr="006C7FAA">
              <w:t>UDS measure</w:t>
            </w:r>
            <w:r w:rsidR="00F46037" w:rsidRPr="006C7FAA">
              <w:t>)</w:t>
            </w:r>
          </w:p>
        </w:tc>
      </w:tr>
      <w:tr w:rsidR="00CA481E" w:rsidRPr="006C7FAA" w:rsidTr="008B1153">
        <w:trPr>
          <w:trHeight w:val="496"/>
        </w:trPr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CA481E" w:rsidP="006C7FAA">
            <w:pPr>
              <w:spacing w:after="0" w:line="240" w:lineRule="auto"/>
            </w:pPr>
            <w:r w:rsidRPr="006C7FAA">
              <w:t>Increased colorectal cancer screening rate</w:t>
            </w:r>
          </w:p>
        </w:tc>
        <w:tc>
          <w:tcPr>
            <w:tcW w:w="2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CA481E" w:rsidP="006C7FAA">
            <w:pPr>
              <w:spacing w:after="0" w:line="240" w:lineRule="auto"/>
            </w:pPr>
            <w:r w:rsidRPr="006C7FAA">
              <w:t>Decrease in colorectal cancer in population of patients screened</w:t>
            </w:r>
            <w:r w:rsidR="00F46037" w:rsidRPr="006C7FAA">
              <w:t xml:space="preserve"> (UDS measure)</w:t>
            </w:r>
          </w:p>
        </w:tc>
      </w:tr>
      <w:tr w:rsidR="00CA481E" w:rsidRPr="006C7FAA" w:rsidTr="008B1153">
        <w:trPr>
          <w:trHeight w:val="505"/>
        </w:trPr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CA481E" w:rsidP="006C7FAA">
            <w:pPr>
              <w:spacing w:after="0" w:line="240" w:lineRule="auto"/>
            </w:pPr>
            <w:r w:rsidRPr="006C7FAA">
              <w:t>Increased number of nurse visits for blood pressure checks</w:t>
            </w:r>
          </w:p>
        </w:tc>
        <w:tc>
          <w:tcPr>
            <w:tcW w:w="2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CA481E" w:rsidP="006C7FAA">
            <w:pPr>
              <w:spacing w:after="0" w:line="240" w:lineRule="auto"/>
            </w:pPr>
            <w:r w:rsidRPr="006C7FAA">
              <w:t>Improved blood pressure control</w:t>
            </w:r>
            <w:r w:rsidR="008B1153" w:rsidRPr="006C7FAA">
              <w:t xml:space="preserve"> </w:t>
            </w:r>
            <w:r w:rsidRPr="006C7FAA">
              <w:t>of population of patients who attend visits</w:t>
            </w:r>
            <w:r w:rsidR="008B1153" w:rsidRPr="006C7FAA">
              <w:t xml:space="preserve"> </w:t>
            </w:r>
            <w:r w:rsidR="00F46037" w:rsidRPr="006C7FAA">
              <w:t>(UDS measure)</w:t>
            </w:r>
          </w:p>
        </w:tc>
      </w:tr>
      <w:tr w:rsidR="00CA481E" w:rsidRPr="006C7FAA" w:rsidTr="008B1153">
        <w:trPr>
          <w:trHeight w:val="478"/>
        </w:trPr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CA481E" w:rsidP="006C7FAA">
            <w:pPr>
              <w:spacing w:after="0" w:line="240" w:lineRule="auto"/>
            </w:pPr>
            <w:r w:rsidRPr="006C7FAA">
              <w:t>Increased number of annual wellness visits</w:t>
            </w:r>
            <w:r w:rsidR="00F46037" w:rsidRPr="006C7FAA">
              <w:t>, which can lead to better medication compliance, improved screening rates</w:t>
            </w:r>
            <w:r w:rsidRPr="006C7FAA">
              <w:t xml:space="preserve"> </w:t>
            </w:r>
            <w:r w:rsidR="00F46037" w:rsidRPr="006C7FAA">
              <w:t>for colon cancer</w:t>
            </w:r>
          </w:p>
        </w:tc>
        <w:tc>
          <w:tcPr>
            <w:tcW w:w="2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481E" w:rsidRPr="006C7FAA" w:rsidRDefault="00F46037" w:rsidP="006C7FAA">
            <w:pPr>
              <w:spacing w:after="0" w:line="240" w:lineRule="auto"/>
            </w:pPr>
            <w:r w:rsidRPr="006C7FAA">
              <w:t>Self-report improvement in medication compliance, decrease in colon cancer rates (UDS measure)</w:t>
            </w:r>
          </w:p>
        </w:tc>
      </w:tr>
      <w:tr w:rsidR="008B1153" w:rsidRPr="006C7FAA" w:rsidTr="008B1153">
        <w:trPr>
          <w:trHeight w:val="478"/>
        </w:trPr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1153" w:rsidRPr="006C7FAA" w:rsidRDefault="008B1153" w:rsidP="006C7FAA">
            <w:pPr>
              <w:spacing w:after="0" w:line="240" w:lineRule="auto"/>
            </w:pPr>
            <w:r w:rsidRPr="006C7FAA">
              <w:t>Shorter wait time for follow-up appointments</w:t>
            </w:r>
          </w:p>
        </w:tc>
        <w:tc>
          <w:tcPr>
            <w:tcW w:w="2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B1153" w:rsidRPr="006C7FAA" w:rsidRDefault="008B1153" w:rsidP="006C7FAA">
            <w:pPr>
              <w:spacing w:after="0" w:line="240" w:lineRule="auto"/>
            </w:pPr>
            <w:r w:rsidRPr="006C7FAA">
              <w:t>Improved patient satisfaction, improved attendance at follow-up appointments</w:t>
            </w:r>
          </w:p>
        </w:tc>
      </w:tr>
    </w:tbl>
    <w:p w:rsidR="00CA481E" w:rsidRDefault="00CA481E" w:rsidP="00933F6D">
      <w:pPr>
        <w:spacing w:after="120" w:line="240" w:lineRule="auto"/>
        <w:rPr>
          <w:sz w:val="20"/>
          <w:szCs w:val="20"/>
        </w:rPr>
      </w:pPr>
    </w:p>
    <w:p w:rsidR="006C7FAA" w:rsidRPr="006C7FAA" w:rsidRDefault="006C7FAA" w:rsidP="006C7FAA">
      <w:pPr>
        <w:spacing w:after="120" w:line="240" w:lineRule="auto"/>
        <w:ind w:left="720" w:hanging="720"/>
        <w:rPr>
          <w:rFonts w:eastAsia="Times New Roman" w:cstheme="minorHAnsi"/>
          <w:color w:val="000000"/>
          <w:u w:val="single"/>
        </w:rPr>
      </w:pPr>
      <w:r w:rsidRPr="006C7FAA">
        <w:rPr>
          <w:rFonts w:eastAsia="Times New Roman" w:cstheme="minorHAnsi"/>
          <w:color w:val="000000"/>
          <w:u w:val="single"/>
        </w:rPr>
        <w:t xml:space="preserve">These are some of the sources we used. </w:t>
      </w:r>
      <w:r>
        <w:rPr>
          <w:rFonts w:eastAsia="Times New Roman" w:cstheme="minorHAnsi"/>
          <w:color w:val="000000"/>
          <w:u w:val="single"/>
        </w:rPr>
        <w:t xml:space="preserve"> </w:t>
      </w:r>
      <w:r w:rsidRPr="006C7FAA">
        <w:rPr>
          <w:rFonts w:eastAsia="Times New Roman" w:cstheme="minorHAnsi"/>
          <w:color w:val="000000"/>
          <w:u w:val="single"/>
        </w:rPr>
        <w:t>Each author has multiple publications regarding their models.</w:t>
      </w:r>
      <w:r>
        <w:rPr>
          <w:rFonts w:eastAsia="Times New Roman" w:cstheme="minorHAnsi"/>
          <w:color w:val="000000"/>
          <w:u w:val="single"/>
        </w:rPr>
        <w:t xml:space="preserve"> </w:t>
      </w:r>
    </w:p>
    <w:p w:rsidR="00FD3DF4" w:rsidRPr="006C7FAA" w:rsidRDefault="00FD3DF4" w:rsidP="007336AD">
      <w:pPr>
        <w:spacing w:after="120" w:line="240" w:lineRule="auto"/>
        <w:ind w:left="720" w:hanging="720"/>
        <w:rPr>
          <w:rFonts w:eastAsia="Times New Roman" w:cstheme="minorHAnsi"/>
          <w:color w:val="000000"/>
        </w:rPr>
      </w:pPr>
      <w:proofErr w:type="spellStart"/>
      <w:r w:rsidRPr="006C7FAA">
        <w:rPr>
          <w:rFonts w:eastAsia="Times New Roman" w:cstheme="minorHAnsi"/>
          <w:color w:val="000000"/>
        </w:rPr>
        <w:t>Damschroder</w:t>
      </w:r>
      <w:proofErr w:type="spellEnd"/>
      <w:r w:rsidRPr="006C7FAA">
        <w:rPr>
          <w:rFonts w:eastAsia="Times New Roman" w:cstheme="minorHAnsi"/>
          <w:color w:val="000000"/>
        </w:rPr>
        <w:t xml:space="preserve"> L.J., Aron D.C., Keith R.E., </w:t>
      </w:r>
      <w:proofErr w:type="spellStart"/>
      <w:r w:rsidRPr="006C7FAA">
        <w:rPr>
          <w:rFonts w:eastAsia="Times New Roman" w:cstheme="minorHAnsi"/>
          <w:color w:val="000000"/>
        </w:rPr>
        <w:t>Kirsh</w:t>
      </w:r>
      <w:proofErr w:type="spellEnd"/>
      <w:r w:rsidRPr="006C7FAA">
        <w:rPr>
          <w:rFonts w:eastAsia="Times New Roman" w:cstheme="minorHAnsi"/>
          <w:color w:val="000000"/>
        </w:rPr>
        <w:t xml:space="preserve"> S.R., Alexander J.A., Lowery J.C. (2009). Fostering implementation of health services research findings into practice: a consolidated framework for advancing implementation science. </w:t>
      </w:r>
      <w:r w:rsidRPr="006C7FAA">
        <w:rPr>
          <w:rFonts w:eastAsia="Times New Roman" w:cstheme="minorHAnsi"/>
          <w:i/>
          <w:iCs/>
          <w:color w:val="000000"/>
        </w:rPr>
        <w:t>Implementation Science</w:t>
      </w:r>
      <w:r w:rsidRPr="006C7FAA">
        <w:rPr>
          <w:rFonts w:eastAsia="Times New Roman" w:cstheme="minorHAnsi"/>
          <w:color w:val="000000"/>
        </w:rPr>
        <w:t>, 4:50.</w:t>
      </w:r>
    </w:p>
    <w:p w:rsidR="006C7FAA" w:rsidRPr="006C7FAA" w:rsidRDefault="006C7FAA" w:rsidP="007336AD">
      <w:pPr>
        <w:spacing w:after="12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 w:rsidRPr="006C7FAA">
        <w:rPr>
          <w:rFonts w:cstheme="minorHAnsi"/>
          <w:color w:val="222222"/>
          <w:shd w:val="clear" w:color="auto" w:fill="FFFFFF"/>
        </w:rPr>
        <w:t xml:space="preserve">Kirk, M. A., Kelley, C., </w:t>
      </w:r>
      <w:proofErr w:type="spellStart"/>
      <w:r w:rsidRPr="006C7FAA">
        <w:rPr>
          <w:rFonts w:cstheme="minorHAnsi"/>
          <w:color w:val="222222"/>
          <w:shd w:val="clear" w:color="auto" w:fill="FFFFFF"/>
        </w:rPr>
        <w:t>Yankey</w:t>
      </w:r>
      <w:proofErr w:type="spellEnd"/>
      <w:r w:rsidRPr="006C7FAA">
        <w:rPr>
          <w:rFonts w:cstheme="minorHAnsi"/>
          <w:color w:val="222222"/>
          <w:shd w:val="clear" w:color="auto" w:fill="FFFFFF"/>
        </w:rPr>
        <w:t xml:space="preserve">, N., </w:t>
      </w:r>
      <w:proofErr w:type="spellStart"/>
      <w:r w:rsidRPr="006C7FAA">
        <w:rPr>
          <w:rFonts w:cstheme="minorHAnsi"/>
          <w:color w:val="222222"/>
          <w:shd w:val="clear" w:color="auto" w:fill="FFFFFF"/>
        </w:rPr>
        <w:t>Birken</w:t>
      </w:r>
      <w:proofErr w:type="spellEnd"/>
      <w:r w:rsidRPr="006C7FAA">
        <w:rPr>
          <w:rFonts w:cstheme="minorHAnsi"/>
          <w:color w:val="222222"/>
          <w:shd w:val="clear" w:color="auto" w:fill="FFFFFF"/>
        </w:rPr>
        <w:t xml:space="preserve">, S. A., </w:t>
      </w:r>
      <w:proofErr w:type="spellStart"/>
      <w:r w:rsidRPr="006C7FAA">
        <w:rPr>
          <w:rFonts w:cstheme="minorHAnsi"/>
          <w:color w:val="222222"/>
          <w:shd w:val="clear" w:color="auto" w:fill="FFFFFF"/>
        </w:rPr>
        <w:t>Abadie</w:t>
      </w:r>
      <w:proofErr w:type="spellEnd"/>
      <w:r w:rsidRPr="006C7FAA">
        <w:rPr>
          <w:rFonts w:cstheme="minorHAnsi"/>
          <w:color w:val="222222"/>
          <w:shd w:val="clear" w:color="auto" w:fill="FFFFFF"/>
        </w:rPr>
        <w:t xml:space="preserve">, B., &amp; </w:t>
      </w:r>
      <w:proofErr w:type="spellStart"/>
      <w:r w:rsidRPr="006C7FAA">
        <w:rPr>
          <w:rFonts w:cstheme="minorHAnsi"/>
          <w:color w:val="222222"/>
          <w:shd w:val="clear" w:color="auto" w:fill="FFFFFF"/>
        </w:rPr>
        <w:t>Damschroder</w:t>
      </w:r>
      <w:proofErr w:type="spellEnd"/>
      <w:r w:rsidRPr="006C7FAA">
        <w:rPr>
          <w:rFonts w:cstheme="minorHAnsi"/>
          <w:color w:val="222222"/>
          <w:shd w:val="clear" w:color="auto" w:fill="FFFFFF"/>
        </w:rPr>
        <w:t>, L. (2015). A systematic review of the use of the Consolidated Framework for Implementation Research. </w:t>
      </w:r>
      <w:r w:rsidRPr="006C7FAA">
        <w:rPr>
          <w:rFonts w:cstheme="minorHAnsi"/>
          <w:i/>
          <w:iCs/>
          <w:color w:val="222222"/>
          <w:shd w:val="clear" w:color="auto" w:fill="FFFFFF"/>
        </w:rPr>
        <w:t>Implementation Science</w:t>
      </w:r>
      <w:r w:rsidRPr="006C7FAA">
        <w:rPr>
          <w:rFonts w:cstheme="minorHAnsi"/>
          <w:color w:val="222222"/>
          <w:shd w:val="clear" w:color="auto" w:fill="FFFFFF"/>
        </w:rPr>
        <w:t>, </w:t>
      </w:r>
      <w:r w:rsidRPr="006C7FAA">
        <w:rPr>
          <w:rFonts w:cstheme="minorHAnsi"/>
          <w:i/>
          <w:iCs/>
          <w:color w:val="222222"/>
          <w:shd w:val="clear" w:color="auto" w:fill="FFFFFF"/>
        </w:rPr>
        <w:t>11</w:t>
      </w:r>
      <w:r w:rsidRPr="006C7FAA">
        <w:rPr>
          <w:rFonts w:cstheme="minorHAnsi"/>
          <w:color w:val="222222"/>
          <w:shd w:val="clear" w:color="auto" w:fill="FFFFFF"/>
        </w:rPr>
        <w:t xml:space="preserve">, 1-13. </w:t>
      </w:r>
    </w:p>
    <w:p w:rsidR="006C7FAA" w:rsidRPr="006C7FAA" w:rsidRDefault="006C7FAA" w:rsidP="007336AD">
      <w:pPr>
        <w:spacing w:after="120" w:line="240" w:lineRule="auto"/>
        <w:ind w:left="720" w:hanging="720"/>
        <w:rPr>
          <w:rFonts w:eastAsia="Times New Roman" w:cstheme="minorHAnsi"/>
          <w:color w:val="222222"/>
        </w:rPr>
      </w:pPr>
      <w:proofErr w:type="spellStart"/>
      <w:r w:rsidRPr="006C7FAA">
        <w:rPr>
          <w:rFonts w:cstheme="minorHAnsi"/>
          <w:color w:val="222222"/>
          <w:shd w:val="clear" w:color="auto" w:fill="FFFFFF"/>
        </w:rPr>
        <w:t>Gaglio</w:t>
      </w:r>
      <w:proofErr w:type="spellEnd"/>
      <w:r w:rsidRPr="006C7FAA">
        <w:rPr>
          <w:rFonts w:cstheme="minorHAnsi"/>
          <w:color w:val="222222"/>
          <w:shd w:val="clear" w:color="auto" w:fill="FFFFFF"/>
        </w:rPr>
        <w:t xml:space="preserve">, B., </w:t>
      </w:r>
      <w:proofErr w:type="spellStart"/>
      <w:r w:rsidRPr="006C7FAA">
        <w:rPr>
          <w:rFonts w:cstheme="minorHAnsi"/>
          <w:color w:val="222222"/>
          <w:shd w:val="clear" w:color="auto" w:fill="FFFFFF"/>
        </w:rPr>
        <w:t>Shoup</w:t>
      </w:r>
      <w:proofErr w:type="spellEnd"/>
      <w:r w:rsidRPr="006C7FAA">
        <w:rPr>
          <w:rFonts w:cstheme="minorHAnsi"/>
          <w:color w:val="222222"/>
          <w:shd w:val="clear" w:color="auto" w:fill="FFFFFF"/>
        </w:rPr>
        <w:t>, J. A., &amp; Glasgow, R. E. (2013). The RE-AIM framework: a systematic review of use over time. </w:t>
      </w:r>
      <w:r w:rsidRPr="006C7FAA">
        <w:rPr>
          <w:rFonts w:cstheme="minorHAnsi"/>
          <w:i/>
          <w:iCs/>
          <w:color w:val="222222"/>
          <w:shd w:val="clear" w:color="auto" w:fill="FFFFFF"/>
        </w:rPr>
        <w:t>American journal of public health</w:t>
      </w:r>
      <w:r w:rsidRPr="006C7FAA">
        <w:rPr>
          <w:rFonts w:cstheme="minorHAnsi"/>
          <w:color w:val="222222"/>
          <w:shd w:val="clear" w:color="auto" w:fill="FFFFFF"/>
        </w:rPr>
        <w:t>, </w:t>
      </w:r>
      <w:r w:rsidRPr="006C7FAA">
        <w:rPr>
          <w:rFonts w:cstheme="minorHAnsi"/>
          <w:i/>
          <w:iCs/>
          <w:color w:val="222222"/>
          <w:shd w:val="clear" w:color="auto" w:fill="FFFFFF"/>
        </w:rPr>
        <w:t>103</w:t>
      </w:r>
      <w:r w:rsidRPr="006C7FAA">
        <w:rPr>
          <w:rFonts w:cstheme="minorHAnsi"/>
          <w:color w:val="222222"/>
          <w:shd w:val="clear" w:color="auto" w:fill="FFFFFF"/>
        </w:rPr>
        <w:t>(6), e38-e46.</w:t>
      </w:r>
      <w:r w:rsidRPr="006C7FAA">
        <w:rPr>
          <w:rFonts w:eastAsia="Times New Roman" w:cstheme="minorHAnsi"/>
          <w:color w:val="222222"/>
        </w:rPr>
        <w:t xml:space="preserve"> </w:t>
      </w:r>
    </w:p>
    <w:p w:rsidR="00FD3DF4" w:rsidRPr="006C7FAA" w:rsidRDefault="00FD3DF4" w:rsidP="007336AD">
      <w:pPr>
        <w:spacing w:after="120" w:line="240" w:lineRule="auto"/>
        <w:ind w:left="720" w:hanging="720"/>
        <w:rPr>
          <w:rFonts w:eastAsia="Times New Roman" w:cstheme="minorHAnsi"/>
          <w:color w:val="222222"/>
        </w:rPr>
      </w:pPr>
      <w:r w:rsidRPr="006C7FAA">
        <w:rPr>
          <w:rFonts w:eastAsia="Times New Roman" w:cstheme="minorHAnsi"/>
          <w:color w:val="222222"/>
        </w:rPr>
        <w:t xml:space="preserve">Graham, I. D., Logan, J., Harrison, M. B., Straus, S. E., </w:t>
      </w:r>
      <w:proofErr w:type="spellStart"/>
      <w:r w:rsidRPr="006C7FAA">
        <w:rPr>
          <w:rFonts w:eastAsia="Times New Roman" w:cstheme="minorHAnsi"/>
          <w:color w:val="222222"/>
        </w:rPr>
        <w:t>Tetroe</w:t>
      </w:r>
      <w:proofErr w:type="spellEnd"/>
      <w:r w:rsidRPr="006C7FAA">
        <w:rPr>
          <w:rFonts w:eastAsia="Times New Roman" w:cstheme="minorHAnsi"/>
          <w:color w:val="222222"/>
        </w:rPr>
        <w:t>, J., Caswell, W., &amp; Robinson, N. (2006). Lost in knowledge translation: time for a map</w:t>
      </w:r>
      <w:proofErr w:type="gramStart"/>
      <w:r w:rsidRPr="006C7FAA">
        <w:rPr>
          <w:rFonts w:eastAsia="Times New Roman" w:cstheme="minorHAnsi"/>
          <w:color w:val="222222"/>
        </w:rPr>
        <w:t>?.</w:t>
      </w:r>
      <w:proofErr w:type="gramEnd"/>
      <w:r w:rsidRPr="006C7FAA">
        <w:rPr>
          <w:rFonts w:eastAsia="Times New Roman" w:cstheme="minorHAnsi"/>
          <w:color w:val="222222"/>
        </w:rPr>
        <w:t xml:space="preserve"> </w:t>
      </w:r>
      <w:r w:rsidRPr="006C7FAA">
        <w:rPr>
          <w:rFonts w:eastAsia="Times New Roman" w:cstheme="minorHAnsi"/>
          <w:i/>
          <w:iCs/>
          <w:color w:val="222222"/>
        </w:rPr>
        <w:t>Journal of continuing education in the health professions</w:t>
      </w:r>
      <w:r w:rsidRPr="006C7FAA">
        <w:rPr>
          <w:rFonts w:eastAsia="Times New Roman" w:cstheme="minorHAnsi"/>
          <w:color w:val="222222"/>
        </w:rPr>
        <w:t xml:space="preserve">, </w:t>
      </w:r>
      <w:r w:rsidRPr="006C7FAA">
        <w:rPr>
          <w:rFonts w:eastAsia="Times New Roman" w:cstheme="minorHAnsi"/>
          <w:i/>
          <w:iCs/>
          <w:color w:val="222222"/>
        </w:rPr>
        <w:t>26</w:t>
      </w:r>
      <w:r w:rsidRPr="006C7FAA">
        <w:rPr>
          <w:rFonts w:eastAsia="Times New Roman" w:cstheme="minorHAnsi"/>
          <w:color w:val="222222"/>
        </w:rPr>
        <w:t>(1), 13-24.</w:t>
      </w:r>
    </w:p>
    <w:p w:rsidR="006C7FAA" w:rsidRPr="006C7FAA" w:rsidRDefault="006C7FAA" w:rsidP="007336AD">
      <w:pPr>
        <w:spacing w:after="12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 w:rsidRPr="006C7FAA">
        <w:rPr>
          <w:rFonts w:cstheme="minorHAnsi"/>
          <w:color w:val="222222"/>
          <w:shd w:val="clear" w:color="auto" w:fill="FFFFFF"/>
        </w:rPr>
        <w:t xml:space="preserve">Straus, S. E., </w:t>
      </w:r>
      <w:proofErr w:type="spellStart"/>
      <w:r w:rsidRPr="006C7FAA">
        <w:rPr>
          <w:rFonts w:cstheme="minorHAnsi"/>
          <w:color w:val="222222"/>
          <w:shd w:val="clear" w:color="auto" w:fill="FFFFFF"/>
        </w:rPr>
        <w:t>Tetroe</w:t>
      </w:r>
      <w:proofErr w:type="spellEnd"/>
      <w:r w:rsidRPr="006C7FAA">
        <w:rPr>
          <w:rFonts w:cstheme="minorHAnsi"/>
          <w:color w:val="222222"/>
          <w:shd w:val="clear" w:color="auto" w:fill="FFFFFF"/>
        </w:rPr>
        <w:t>, J., &amp; Graham, I. D. (Eds.). (2013). </w:t>
      </w:r>
      <w:r w:rsidRPr="006C7FAA">
        <w:rPr>
          <w:rFonts w:cstheme="minorHAnsi"/>
          <w:i/>
          <w:iCs/>
          <w:color w:val="222222"/>
          <w:shd w:val="clear" w:color="auto" w:fill="FFFFFF"/>
        </w:rPr>
        <w:t>Knowledge translation in health care: moving from evidence to practice</w:t>
      </w:r>
      <w:r w:rsidRPr="006C7FAA">
        <w:rPr>
          <w:rFonts w:cstheme="minorHAnsi"/>
          <w:color w:val="222222"/>
          <w:shd w:val="clear" w:color="auto" w:fill="FFFFFF"/>
        </w:rPr>
        <w:t>. John Wiley &amp; Sons.</w:t>
      </w:r>
    </w:p>
    <w:p w:rsidR="00FD3DF4" w:rsidRPr="006C7FAA" w:rsidRDefault="00FD3DF4" w:rsidP="007336AD">
      <w:pPr>
        <w:spacing w:after="120" w:line="240" w:lineRule="auto"/>
        <w:ind w:left="720" w:hanging="720"/>
        <w:rPr>
          <w:rFonts w:eastAsia="Times New Roman" w:cstheme="minorHAnsi"/>
          <w:color w:val="222222"/>
        </w:rPr>
      </w:pPr>
      <w:r w:rsidRPr="006C7FAA">
        <w:rPr>
          <w:rFonts w:eastAsia="Times New Roman" w:cstheme="minorHAnsi"/>
          <w:color w:val="222222"/>
        </w:rPr>
        <w:t xml:space="preserve">Moore Jr, D. E., Green, J. S., &amp; </w:t>
      </w:r>
      <w:proofErr w:type="spellStart"/>
      <w:r w:rsidRPr="006C7FAA">
        <w:rPr>
          <w:rFonts w:eastAsia="Times New Roman" w:cstheme="minorHAnsi"/>
          <w:color w:val="222222"/>
        </w:rPr>
        <w:t>Gallis</w:t>
      </w:r>
      <w:proofErr w:type="spellEnd"/>
      <w:r w:rsidRPr="006C7FAA">
        <w:rPr>
          <w:rFonts w:eastAsia="Times New Roman" w:cstheme="minorHAnsi"/>
          <w:color w:val="222222"/>
        </w:rPr>
        <w:t xml:space="preserve">, H. A. (2009). Achieving desired results and improved outcomes: integrating planning and assessment throughout learning activities. </w:t>
      </w:r>
      <w:r w:rsidRPr="006C7FAA">
        <w:rPr>
          <w:rFonts w:eastAsia="Times New Roman" w:cstheme="minorHAnsi"/>
          <w:i/>
          <w:iCs/>
          <w:color w:val="222222"/>
        </w:rPr>
        <w:t>Journal of continuing education in the health professions</w:t>
      </w:r>
      <w:r w:rsidRPr="006C7FAA">
        <w:rPr>
          <w:rFonts w:eastAsia="Times New Roman" w:cstheme="minorHAnsi"/>
          <w:color w:val="222222"/>
        </w:rPr>
        <w:t xml:space="preserve">, </w:t>
      </w:r>
      <w:r w:rsidRPr="006C7FAA">
        <w:rPr>
          <w:rFonts w:eastAsia="Times New Roman" w:cstheme="minorHAnsi"/>
          <w:i/>
          <w:iCs/>
          <w:color w:val="222222"/>
        </w:rPr>
        <w:t>29</w:t>
      </w:r>
      <w:r w:rsidRPr="006C7FAA">
        <w:rPr>
          <w:rFonts w:eastAsia="Times New Roman" w:cstheme="minorHAnsi"/>
          <w:color w:val="222222"/>
        </w:rPr>
        <w:t>(1), 1-15.</w:t>
      </w:r>
    </w:p>
    <w:p w:rsidR="00FD3DF4" w:rsidRPr="006C7FAA" w:rsidRDefault="00FD3DF4" w:rsidP="007336AD">
      <w:pPr>
        <w:spacing w:after="120" w:line="240" w:lineRule="auto"/>
        <w:ind w:left="720" w:hanging="720"/>
        <w:rPr>
          <w:rFonts w:cstheme="minorHAnsi"/>
        </w:rPr>
      </w:pPr>
      <w:r w:rsidRPr="006C7FAA">
        <w:rPr>
          <w:rFonts w:eastAsia="Times New Roman" w:cstheme="minorHAnsi"/>
          <w:color w:val="222222"/>
        </w:rPr>
        <w:t xml:space="preserve">Proctor, E., </w:t>
      </w:r>
      <w:proofErr w:type="spellStart"/>
      <w:r w:rsidRPr="006C7FAA">
        <w:rPr>
          <w:rFonts w:eastAsia="Times New Roman" w:cstheme="minorHAnsi"/>
          <w:color w:val="222222"/>
        </w:rPr>
        <w:t>Silmere</w:t>
      </w:r>
      <w:proofErr w:type="spellEnd"/>
      <w:r w:rsidRPr="006C7FAA">
        <w:rPr>
          <w:rFonts w:eastAsia="Times New Roman" w:cstheme="minorHAnsi"/>
          <w:color w:val="222222"/>
        </w:rPr>
        <w:t xml:space="preserve">, H., </w:t>
      </w:r>
      <w:proofErr w:type="spellStart"/>
      <w:r w:rsidRPr="006C7FAA">
        <w:rPr>
          <w:rFonts w:eastAsia="Times New Roman" w:cstheme="minorHAnsi"/>
          <w:color w:val="222222"/>
        </w:rPr>
        <w:t>Raghavan</w:t>
      </w:r>
      <w:proofErr w:type="spellEnd"/>
      <w:r w:rsidRPr="006C7FAA">
        <w:rPr>
          <w:rFonts w:eastAsia="Times New Roman" w:cstheme="minorHAnsi"/>
          <w:color w:val="222222"/>
        </w:rPr>
        <w:t xml:space="preserve">, R., </w:t>
      </w:r>
      <w:proofErr w:type="spellStart"/>
      <w:r w:rsidRPr="006C7FAA">
        <w:rPr>
          <w:rFonts w:eastAsia="Times New Roman" w:cstheme="minorHAnsi"/>
          <w:color w:val="222222"/>
        </w:rPr>
        <w:t>Hovmand</w:t>
      </w:r>
      <w:proofErr w:type="spellEnd"/>
      <w:r w:rsidRPr="006C7FAA">
        <w:rPr>
          <w:rFonts w:eastAsia="Times New Roman" w:cstheme="minorHAnsi"/>
          <w:color w:val="222222"/>
        </w:rPr>
        <w:t>, P., Aarons, G., Bunger, A</w:t>
      </w:r>
      <w:proofErr w:type="gramStart"/>
      <w:r w:rsidRPr="006C7FAA">
        <w:rPr>
          <w:rFonts w:eastAsia="Times New Roman" w:cstheme="minorHAnsi"/>
          <w:color w:val="222222"/>
        </w:rPr>
        <w:t>., ...</w:t>
      </w:r>
      <w:proofErr w:type="gramEnd"/>
      <w:r w:rsidRPr="006C7FAA">
        <w:rPr>
          <w:rFonts w:eastAsia="Times New Roman" w:cstheme="minorHAnsi"/>
          <w:color w:val="222222"/>
        </w:rPr>
        <w:t xml:space="preserve"> &amp; Hensley, M. (2011). Outcomes for implementation research: conceptual distinctions, measurement challenges, and research agenda. </w:t>
      </w:r>
      <w:r w:rsidRPr="006C7FAA">
        <w:rPr>
          <w:rFonts w:eastAsia="Times New Roman" w:cstheme="minorHAnsi"/>
          <w:i/>
          <w:iCs/>
          <w:color w:val="222222"/>
        </w:rPr>
        <w:t>Administration and Policy in Mental Health and Mental Health Services Research</w:t>
      </w:r>
      <w:r w:rsidRPr="006C7FAA">
        <w:rPr>
          <w:rFonts w:eastAsia="Times New Roman" w:cstheme="minorHAnsi"/>
          <w:color w:val="222222"/>
        </w:rPr>
        <w:t xml:space="preserve">, </w:t>
      </w:r>
      <w:r w:rsidRPr="006C7FAA">
        <w:rPr>
          <w:rFonts w:eastAsia="Times New Roman" w:cstheme="minorHAnsi"/>
          <w:i/>
          <w:iCs/>
          <w:color w:val="222222"/>
        </w:rPr>
        <w:t>38</w:t>
      </w:r>
      <w:r w:rsidRPr="006C7FAA">
        <w:rPr>
          <w:rFonts w:eastAsia="Times New Roman" w:cstheme="minorHAnsi"/>
          <w:color w:val="222222"/>
        </w:rPr>
        <w:t>(2), 65-76.</w:t>
      </w:r>
    </w:p>
    <w:sectPr w:rsidR="00FD3DF4" w:rsidRPr="006C7FAA" w:rsidSect="00D53BD0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FB" w:rsidRDefault="008155FB" w:rsidP="00D53BD0">
      <w:pPr>
        <w:spacing w:after="0" w:line="240" w:lineRule="auto"/>
      </w:pPr>
      <w:r>
        <w:separator/>
      </w:r>
    </w:p>
  </w:endnote>
  <w:endnote w:type="continuationSeparator" w:id="0">
    <w:p w:rsidR="008155FB" w:rsidRDefault="008155FB" w:rsidP="00D5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048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0D82" w:rsidRDefault="00770D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A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0D82" w:rsidRDefault="00770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FB" w:rsidRDefault="008155FB" w:rsidP="00D53BD0">
      <w:pPr>
        <w:spacing w:after="0" w:line="240" w:lineRule="auto"/>
      </w:pPr>
      <w:r>
        <w:separator/>
      </w:r>
    </w:p>
  </w:footnote>
  <w:footnote w:type="continuationSeparator" w:id="0">
    <w:p w:rsidR="008155FB" w:rsidRDefault="008155FB" w:rsidP="00D5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D0" w:rsidRDefault="002A6A01" w:rsidP="002A6A01">
    <w:pPr>
      <w:pStyle w:val="Header"/>
      <w:jc w:val="center"/>
    </w:pPr>
    <w:r w:rsidRPr="002A6A01">
      <w:t>NTTAP Comprehensive and Team-Based Care Learning Collaborative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93E"/>
    <w:multiLevelType w:val="hybridMultilevel"/>
    <w:tmpl w:val="6808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5092"/>
    <w:multiLevelType w:val="hybridMultilevel"/>
    <w:tmpl w:val="64D0E3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1454"/>
    <w:multiLevelType w:val="hybridMultilevel"/>
    <w:tmpl w:val="3E489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7B33"/>
    <w:multiLevelType w:val="hybridMultilevel"/>
    <w:tmpl w:val="7396DDA6"/>
    <w:lvl w:ilvl="0" w:tplc="D4960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087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8C65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42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4F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AF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29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09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C0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200424"/>
    <w:multiLevelType w:val="hybridMultilevel"/>
    <w:tmpl w:val="1A687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A5125"/>
    <w:multiLevelType w:val="hybridMultilevel"/>
    <w:tmpl w:val="6CB8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7614"/>
    <w:multiLevelType w:val="hybridMultilevel"/>
    <w:tmpl w:val="52CA95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26787"/>
    <w:multiLevelType w:val="hybridMultilevel"/>
    <w:tmpl w:val="D4F8B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5996"/>
    <w:multiLevelType w:val="hybridMultilevel"/>
    <w:tmpl w:val="134EE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90E67"/>
    <w:multiLevelType w:val="hybridMultilevel"/>
    <w:tmpl w:val="673E4768"/>
    <w:lvl w:ilvl="0" w:tplc="BCB60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C1F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4666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2A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40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8C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2A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83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0B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A8E5E34"/>
    <w:multiLevelType w:val="hybridMultilevel"/>
    <w:tmpl w:val="924C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1E"/>
    <w:rsid w:val="0009105E"/>
    <w:rsid w:val="000A24E8"/>
    <w:rsid w:val="000C3319"/>
    <w:rsid w:val="0011178A"/>
    <w:rsid w:val="00160346"/>
    <w:rsid w:val="002A6A01"/>
    <w:rsid w:val="00454B47"/>
    <w:rsid w:val="00565B98"/>
    <w:rsid w:val="00575826"/>
    <w:rsid w:val="006C3733"/>
    <w:rsid w:val="006C7FAA"/>
    <w:rsid w:val="006E47A1"/>
    <w:rsid w:val="007336AD"/>
    <w:rsid w:val="00747B55"/>
    <w:rsid w:val="00770D82"/>
    <w:rsid w:val="007B569E"/>
    <w:rsid w:val="008155FB"/>
    <w:rsid w:val="008B1153"/>
    <w:rsid w:val="008C7E66"/>
    <w:rsid w:val="00933F6D"/>
    <w:rsid w:val="00996C74"/>
    <w:rsid w:val="00A22EC5"/>
    <w:rsid w:val="00AF5F4F"/>
    <w:rsid w:val="00CA481E"/>
    <w:rsid w:val="00D53BD0"/>
    <w:rsid w:val="00D92E68"/>
    <w:rsid w:val="00DD7DD7"/>
    <w:rsid w:val="00E367AC"/>
    <w:rsid w:val="00F44627"/>
    <w:rsid w:val="00F46037"/>
    <w:rsid w:val="00F91699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7164A"/>
  <w15:chartTrackingRefBased/>
  <w15:docId w15:val="{DB88C73C-8CDA-4B45-9ED0-D470B771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D0"/>
  </w:style>
  <w:style w:type="paragraph" w:styleId="Footer">
    <w:name w:val="footer"/>
    <w:basedOn w:val="Normal"/>
    <w:link w:val="FooterChar"/>
    <w:uiPriority w:val="99"/>
    <w:unhideWhenUsed/>
    <w:rsid w:val="00D53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D0"/>
  </w:style>
  <w:style w:type="paragraph" w:styleId="BodyText">
    <w:name w:val="Body Text"/>
    <w:basedOn w:val="Normal"/>
    <w:link w:val="BodyTextChar"/>
    <w:uiPriority w:val="1"/>
    <w:qFormat/>
    <w:rsid w:val="00D53B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53BD0"/>
    <w:rPr>
      <w:rFonts w:ascii="Calibri" w:eastAsia="Calibri" w:hAnsi="Calibri" w:cs="Calibri"/>
      <w:lang w:bidi="en-US"/>
    </w:rPr>
  </w:style>
  <w:style w:type="paragraph" w:customStyle="1" w:styleId="TableParagraph">
    <w:name w:val="Table Paragraph"/>
    <w:basedOn w:val="Normal"/>
    <w:uiPriority w:val="1"/>
    <w:qFormat/>
    <w:rsid w:val="00D53BD0"/>
    <w:pPr>
      <w:widowControl w:val="0"/>
      <w:autoSpaceDE w:val="0"/>
      <w:autoSpaceDN w:val="0"/>
      <w:spacing w:before="1" w:after="0" w:line="240" w:lineRule="auto"/>
      <w:ind w:left="105"/>
    </w:pPr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34"/>
    <w:qFormat/>
    <w:rsid w:val="006E47A1"/>
    <w:pPr>
      <w:ind w:left="720"/>
      <w:contextualSpacing/>
    </w:pPr>
  </w:style>
  <w:style w:type="table" w:styleId="TableGrid">
    <w:name w:val="Table Grid"/>
    <w:basedOn w:val="TableNormal"/>
    <w:uiPriority w:val="39"/>
    <w:rsid w:val="000C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2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63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897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Thies, Kathleen</dc:creator>
  <cp:keywords/>
  <dc:description/>
  <cp:lastModifiedBy>Angers, Meaghan</cp:lastModifiedBy>
  <cp:revision>4</cp:revision>
  <dcterms:created xsi:type="dcterms:W3CDTF">2025-05-12T20:07:00Z</dcterms:created>
  <dcterms:modified xsi:type="dcterms:W3CDTF">2025-05-12T20:24:00Z</dcterms:modified>
</cp:coreProperties>
</file>