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Aim Statement &amp; Balanced Measures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Background</w:t>
        <w:br w:type="textWrapping"/>
      </w:r>
      <w:r w:rsidDel="00000000" w:rsidR="00000000" w:rsidRPr="00000000">
        <w:rPr>
          <w:rtl w:val="0"/>
        </w:rPr>
        <w:t xml:space="preserve">The Aim Statement describes how your team will achieve the vision outlined in your Purpose Statement and what you hope to accomplish through participation in this learning collaborative.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Metrics will be selected using a Balanced Measures approach, ensuring a well-rounded view of success. This includes financial data, process and outcome measures, and satisfaction data, all of which are critical to overall project success.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Approach: Developing the Aim Statement</w:t>
        <w:br w:type="textWrapping"/>
      </w:r>
      <w:r w:rsidDel="00000000" w:rsidR="00000000" w:rsidRPr="00000000">
        <w:rPr>
          <w:rtl w:val="0"/>
        </w:rPr>
        <w:t xml:space="preserve">Meet with your team to review and reflect on your Purpose Statement.</w:t>
        <w:br w:type="textWrapping"/>
        <w:t xml:space="preserve">Work collaboratively to complete the Aim Statement using the template provided in this worksheet.</w:t>
        <w:br w:type="textWrapping"/>
        <w:t xml:space="preserve">Keep in mind that creating a strong Aim Statement can be a messy and iterative process, be sure to allow adequate time for thoughtful discussion.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Approach: Identifying Balanced Measures</w:t>
        <w:br w:type="textWrapping"/>
      </w:r>
      <w:r w:rsidDel="00000000" w:rsidR="00000000" w:rsidRPr="00000000">
        <w:rPr>
          <w:rtl w:val="0"/>
        </w:rPr>
        <w:t xml:space="preserve">Refer to the “...by doing so, we expect…” portion of your Aim Statement to help define what success looks like.</w:t>
        <w:br w:type="textWrapping"/>
        <w:t xml:space="preserve">The Balanced Measures template includes four quadrants. Aim to identify one or two measures per quadrant. You may choose to collect data on only a few of these, but completing all four quadrants encourages broader thinking about how to measure ECTP success.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Note: These exercises may take more than one meeting. Don’t worry about getting it perfect, focus on the process, think expansively, and aim for a solid working draft that your team can revisit and refine over time.</w:t>
      </w:r>
    </w:p>
    <w:p w:rsidR="00000000" w:rsidDel="00000000" w:rsidP="00000000" w:rsidRDefault="00000000" w:rsidRPr="00000000" w14:paraId="0000000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05163" cy="175037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5163" cy="17503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Aim Statement Template: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  <w:t xml:space="preserve">“We aim to (increase/decrease/achieve) ___________. We will do this by (providing/improving/addressing) ___________. By doing so, we expect (outcomes/benefits)____________. It’s important to address this now because_____________.”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Aim Statement: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i w:val="1"/>
        </w:rPr>
      </w:pPr>
      <w:r w:rsidDel="00000000" w:rsidR="00000000" w:rsidRPr="00000000">
        <w:rPr>
          <w:rtl w:val="0"/>
        </w:rPr>
        <w:t xml:space="preserve">We aim to </w:t>
      </w:r>
      <w:r w:rsidDel="00000000" w:rsidR="00000000" w:rsidRPr="00000000">
        <w:rPr>
          <w:i w:val="1"/>
          <w:rtl w:val="0"/>
        </w:rPr>
        <w:t xml:space="preserve">increase educator confidence in managing disruptive behaviors in the classroom</w:t>
      </w:r>
      <w:r w:rsidDel="00000000" w:rsidR="00000000" w:rsidRPr="00000000">
        <w:rPr>
          <w:rtl w:val="0"/>
        </w:rPr>
        <w:t xml:space="preserve">. By doing so, we expect</w:t>
      </w:r>
      <w:r w:rsidDel="00000000" w:rsidR="00000000" w:rsidRPr="00000000">
        <w:rPr>
          <w:i w:val="1"/>
          <w:rtl w:val="0"/>
        </w:rPr>
        <w:t xml:space="preserve"> improved confidence among educators and a decrease in the number of disruptive classroom events</w:t>
      </w:r>
      <w:r w:rsidDel="00000000" w:rsidR="00000000" w:rsidRPr="00000000">
        <w:rPr>
          <w:rtl w:val="0"/>
        </w:rPr>
        <w:t xml:space="preserve">. It is important to address this now </w:t>
      </w:r>
      <w:r w:rsidDel="00000000" w:rsidR="00000000" w:rsidRPr="00000000">
        <w:rPr>
          <w:i w:val="1"/>
          <w:rtl w:val="0"/>
        </w:rPr>
        <w:t xml:space="preserve">in order to create a healthy learning environment for students and educators.</w:t>
      </w:r>
    </w:p>
    <w:p w:rsidR="00000000" w:rsidDel="00000000" w:rsidP="00000000" w:rsidRDefault="00000000" w:rsidRPr="00000000" w14:paraId="00000018">
      <w:pPr>
        <w:widowControl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0" w:right="-720" w:hanging="720"/>
      <w:jc w:val="right"/>
      <w:rPr>
        <w:b w:val="1"/>
        <w:color w:val="a61c00"/>
      </w:rPr>
    </w:pPr>
    <w:r w:rsidDel="00000000" w:rsidR="00000000" w:rsidRPr="00000000">
      <w:rPr>
        <w:b w:val="1"/>
        <w:color w:val="a61c00"/>
        <w:rtl w:val="0"/>
      </w:rPr>
      <w:t xml:space="preserve">Early Childhood Therapeutic Partnership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-9524</wp:posOffset>
          </wp:positionV>
          <wp:extent cx="3614202" cy="8429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4202" cy="842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ind w:left="0" w:right="-720" w:hanging="720"/>
      <w:jc w:val="right"/>
      <w:rPr>
        <w:b w:val="1"/>
        <w:color w:val="a61c00"/>
      </w:rPr>
    </w:pPr>
    <w:r w:rsidDel="00000000" w:rsidR="00000000" w:rsidRPr="00000000">
      <w:rPr>
        <w:b w:val="1"/>
        <w:color w:val="a61c00"/>
        <w:rtl w:val="0"/>
      </w:rPr>
      <w:t xml:space="preserve">Learning Collaborative </w:t>
    </w:r>
  </w:p>
  <w:p w:rsidR="00000000" w:rsidDel="00000000" w:rsidP="00000000" w:rsidRDefault="00000000" w:rsidRPr="00000000" w14:paraId="0000001D">
    <w:pPr>
      <w:ind w:left="0" w:right="-720" w:hanging="720"/>
      <w:jc w:val="right"/>
      <w:rPr>
        <w:b w:val="1"/>
        <w:color w:val="a61c00"/>
      </w:rPr>
    </w:pPr>
    <w:r w:rsidDel="00000000" w:rsidR="00000000" w:rsidRPr="00000000">
      <w:rPr>
        <w:b w:val="1"/>
        <w:color w:val="a61c00"/>
        <w:rtl w:val="0"/>
      </w:rPr>
      <w:t xml:space="preserve">Postwork #3: Aim &amp; Balanced Measures </w:t>
    </w:r>
  </w:p>
  <w:p w:rsidR="00000000" w:rsidDel="00000000" w:rsidP="00000000" w:rsidRDefault="00000000" w:rsidRPr="00000000" w14:paraId="0000001E">
    <w:pPr>
      <w:ind w:left="0" w:right="-720" w:hanging="720"/>
      <w:jc w:val="right"/>
      <w:rPr>
        <w:b w:val="1"/>
        <w:color w:val="a61c00"/>
      </w:rPr>
    </w:pPr>
    <w:r w:rsidDel="00000000" w:rsidR="00000000" w:rsidRPr="00000000">
      <w:rPr>
        <w:b w:val="1"/>
        <w:color w:val="a61c00"/>
        <w:rtl w:val="0"/>
      </w:rPr>
      <w:t xml:space="preserve">Due: September 2,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